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7EBE53">
      <w:pPr>
        <w:widowControl/>
        <w:spacing w:line="580" w:lineRule="exact"/>
        <w:jc w:val="left"/>
      </w:pPr>
      <w:r>
        <w:rPr>
          <w:rFonts w:hint="eastAsia" w:ascii="Times New Roman" w:hAnsi="Times New Roman" w:eastAsia="黑体" w:cs="Times New Roman"/>
          <w:sz w:val="32"/>
          <w:szCs w:val="32"/>
        </w:rPr>
        <w:t>附件1</w:t>
      </w:r>
    </w:p>
    <w:p w14:paraId="12E3FD37">
      <w:pPr>
        <w:autoSpaceDE/>
        <w:autoSpaceDN/>
        <w:adjustRightInd/>
        <w:snapToGrid w:val="0"/>
        <w:spacing w:beforeLines="0" w:afterLines="0"/>
        <w:jc w:val="center"/>
        <w:outlineLvl w:val="9"/>
        <w:rPr>
          <w:rFonts w:hint="eastAsia" w:ascii="Times New Roman" w:hAnsi="Times New Roman" w:eastAsia="方正小标宋_GBK" w:cs="Times New Roman"/>
          <w:bCs w:val="0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bCs w:val="0"/>
          <w:sz w:val="44"/>
          <w:szCs w:val="44"/>
        </w:rPr>
        <w:t>试点任务完成情况</w:t>
      </w:r>
    </w:p>
    <w:p w14:paraId="3E6036D8">
      <w:pPr>
        <w:autoSpaceDE/>
        <w:autoSpaceDN/>
        <w:adjustRightInd/>
        <w:snapToGrid/>
        <w:spacing w:line="580" w:lineRule="exact"/>
        <w:jc w:val="both"/>
        <w:outlineLvl w:val="0"/>
        <w:rPr>
          <w:rFonts w:hint="default" w:ascii="Times New Roman" w:hAnsi="Times New Roman" w:eastAsia="仿宋_GB2312" w:cs="Times New Roman"/>
          <w:bCs/>
          <w:color w:val="FF0000"/>
          <w:sz w:val="32"/>
          <w:szCs w:val="24"/>
          <w:highlight w:val="yellow"/>
          <w:lang w:eastAsia="zh-CN"/>
        </w:rPr>
      </w:pPr>
      <w:bookmarkStart w:id="0" w:name="_GoBack"/>
      <w:bookmarkEnd w:id="0"/>
    </w:p>
    <w:p w14:paraId="76D23E96">
      <w:pPr>
        <w:numPr>
          <w:ilvl w:val="0"/>
          <w:numId w:val="1"/>
        </w:num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岸电设施建设</w:t>
      </w:r>
      <w:r>
        <w:rPr>
          <w:rFonts w:hint="eastAsia" w:ascii="Times New Roman" w:hAnsi="Times New Roman" w:eastAsia="黑体" w:cs="Times New Roman"/>
          <w:sz w:val="32"/>
          <w:szCs w:val="32"/>
          <w:lang w:eastAsia="zh-CN"/>
        </w:rPr>
        <w:t>改造</w:t>
      </w:r>
      <w:r>
        <w:rPr>
          <w:rFonts w:hint="eastAsia" w:ascii="Times New Roman" w:hAnsi="Times New Roman" w:eastAsia="黑体" w:cs="Times New Roman"/>
          <w:sz w:val="32"/>
          <w:szCs w:val="32"/>
        </w:rPr>
        <w:t>全面覆盖</w:t>
      </w:r>
    </w:p>
    <w:p w14:paraId="01561565">
      <w:pPr>
        <w:spacing w:line="580" w:lineRule="exact"/>
        <w:ind w:firstLine="643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一是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组织形成岸电建设方案，印发设施摸底、推广应用等系列工作文件，完成长江经济带泊位岸电设施全面核查统计，编制《长江经济带货运码头低压岸电改造升级技术指南》《长江经济带运输船舶岸电系统受电设施改造推进方案》等技术方案，为岸电建设提供全流程技术支撑。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二是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搭建跨区域线上服务平台，研发长江经济带港口岸电设施服务系统，打破沿江11省（市）</w:t>
      </w:r>
      <w:r>
        <w:rPr>
          <w:rFonts w:ascii="Times New Roman" w:hAnsi="Times New Roman" w:eastAsia="仿宋_GB2312" w:cs="Times New Roman"/>
          <w:sz w:val="32"/>
          <w:szCs w:val="32"/>
        </w:rPr>
        <w:t>之间的数据壁垒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sz w:val="32"/>
          <w:szCs w:val="32"/>
        </w:rPr>
        <w:t>提供全流程线上服务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，实现建设动态实时管控、跨省申报高效协同。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三是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完善岸电设施建设运营全链条技术标准，制定《港口岸电设施术语》等国家标准，推动出台低压岸电连接系统接插件尺寸兼容性等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行业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标准，统一建设、检测、维护、检验全流程技术要求，推动岸电产业规范化发展。试点实施以来，累计完成长江干线</w:t>
      </w:r>
      <w:r>
        <w:rPr>
          <w:rFonts w:ascii="Times New Roman" w:hAnsi="Times New Roman" w:eastAsia="仿宋_GB2312" w:cs="Times New Roman"/>
          <w:sz w:val="32"/>
          <w:szCs w:val="32"/>
        </w:rPr>
        <w:t>79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个大型客运码头泊位、</w:t>
      </w:r>
      <w:r>
        <w:rPr>
          <w:rFonts w:ascii="Times New Roman" w:hAnsi="Times New Roman" w:eastAsia="仿宋_GB2312" w:cs="Times New Roman"/>
          <w:sz w:val="32"/>
          <w:szCs w:val="32"/>
        </w:rPr>
        <w:t>25个商品车滚装码头、103个集装箱泊位、1336个3000吨级及以上干散货泊位的岸电设施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标准化建改造，实现长江干线省际客船、商品车滚装船、集装箱船等岸电受电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  <w:lang w:val="en-US"/>
        </w:rPr>
        <w:t>设施建设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改造全覆盖。</w:t>
      </w:r>
    </w:p>
    <w:p w14:paraId="09994710">
      <w:pPr>
        <w:numPr>
          <w:ilvl w:val="0"/>
          <w:numId w:val="1"/>
        </w:num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岸电</w:t>
      </w:r>
      <w:r>
        <w:rPr>
          <w:rFonts w:hint="eastAsia" w:ascii="Times New Roman" w:hAnsi="Times New Roman" w:eastAsia="黑体" w:cs="Times New Roman"/>
          <w:sz w:val="32"/>
          <w:szCs w:val="32"/>
          <w:lang w:eastAsia="zh-CN"/>
        </w:rPr>
        <w:t>使用管理</w:t>
      </w:r>
      <w:r>
        <w:rPr>
          <w:rFonts w:hint="eastAsia" w:ascii="Times New Roman" w:hAnsi="Times New Roman" w:eastAsia="黑体" w:cs="Times New Roman"/>
          <w:sz w:val="32"/>
          <w:szCs w:val="32"/>
        </w:rPr>
        <w:t>政策进一步完善</w:t>
      </w:r>
    </w:p>
    <w:p w14:paraId="1A5AAA37">
      <w:pPr>
        <w:spacing w:line="580" w:lineRule="exact"/>
        <w:ind w:firstLine="643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一是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推动修订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《港口和船舶岸电管理办法》，紧跟港口和船舶岸电建设管理使用总体形势的发展变化，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针对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长江干线船舶类型复杂、水文条件特殊等实际情况，广泛调研论证与征求意见，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为办法出台提供技术支撑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二是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深度参与地方关于岸电建设与运营的立法研究，推动江苏、安徽、重庆、湖北等沿江省市出台船舶污染防治条例，聚焦港口和船舶岸电常态化推广、规范化应用以及信息化建设等方面，推动形成全方位、多层次的制度支撑体系。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三是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因地制宜推动出台岸电政策，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针对用电成本高、干支流政策不协调等问题，配合地方交通运输主管部门推出降低码头岸电收费标准、提升港船岸电匹配度、将岸电服务纳入港口核心服务范围等系列优惠举措。试点实施以来，推动沿江省市出台岸电政策性文件</w:t>
      </w:r>
      <w:r>
        <w:rPr>
          <w:rFonts w:ascii="Times New Roman" w:hAnsi="Times New Roman" w:eastAsia="仿宋_GB2312" w:cs="Times New Roman"/>
          <w:sz w:val="32"/>
          <w:szCs w:val="32"/>
        </w:rPr>
        <w:t>8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项，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形成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《低压交流岸电桩技术规范》等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10余项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标准规范与技术指南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推动形成较为完备的长江干线岸电建设、使用和监管制度体系。</w:t>
      </w:r>
    </w:p>
    <w:p w14:paraId="28D7A979">
      <w:pPr>
        <w:numPr>
          <w:ilvl w:val="0"/>
          <w:numId w:val="1"/>
        </w:num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船舶靠港使用岸电实现常态化</w:t>
      </w:r>
    </w:p>
    <w:p w14:paraId="4C8EB993">
      <w:pPr>
        <w:spacing w:line="580" w:lineRule="exact"/>
        <w:ind w:firstLine="643" w:firstLineChars="200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一是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建立标准化执法机制，制定《船舶靠港使用岸电监管工作指南（试行）》《长江海事局船舶靠港使用岸电检查工作手册》等文件，构建涵盖执法流程、检查要点等要求的执法规范，通过规范化、智能化执法监管，遏制违规行为，营造良好法治环境。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二是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创新智能化监管模式，依托船舶自动识别系统（AIS）构建码头电子围栏，支持自动核查船舶用电记录，有效提升执法效能。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三是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用好信用激励约束机制，将岸电管理纳入多维信用评级模型，通过赋码分级管控，实施信用奖惩联动，对高信用船舶给予优先过闸等激励，对违规船舶精准管控，推动形成自律机制，破解岸电使用“可持续性差”的难点。试点实施以来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实现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船舶靠港使用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岸电规模化、常态化，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长江经济带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11省市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累计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服务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300余万艘船舶利用岸电5.6亿度，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节约船舶能源成本约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8.4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亿元，替代燃油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13.1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万吨，减少二氧化碳排放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42.2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万吨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2025年1—11月，长江经济带船舶靠泊靠港累计使用岸电超过2.2亿度，同比增加27%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。</w:t>
      </w:r>
    </w:p>
    <w:p w14:paraId="12DCD5FC">
      <w:pPr>
        <w:numPr>
          <w:ilvl w:val="0"/>
          <w:numId w:val="1"/>
        </w:num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岸电监管信息系统全面推广</w:t>
      </w:r>
    </w:p>
    <w:p w14:paraId="571C3B57"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一是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印发岸电监管信息系统推广应用通知及实施方案，明确信息系统建设总体目标与基本要求，细化系统建设、上线运行、培训推广、数据共享等任务分工，明确责任主体与时间节点，为系统建设提供制度保障。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二是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推动系统使用培训全覆盖，先后组织系统使用培训</w:t>
      </w:r>
      <w:r>
        <w:rPr>
          <w:rFonts w:ascii="Times New Roman" w:hAnsi="Times New Roman" w:eastAsia="仿宋_GB2312" w:cs="Times New Roman"/>
          <w:sz w:val="32"/>
          <w:szCs w:val="32"/>
        </w:rPr>
        <w:t>20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期，覆盖</w:t>
      </w:r>
      <w:r>
        <w:rPr>
          <w:rFonts w:ascii="Times New Roman" w:hAnsi="Times New Roman" w:eastAsia="仿宋_GB2312" w:cs="Times New Roman"/>
          <w:sz w:val="32"/>
          <w:szCs w:val="32"/>
        </w:rPr>
        <w:t>11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个省市交通运输主管部门、港航企业人员</w:t>
      </w:r>
      <w:r>
        <w:rPr>
          <w:rFonts w:ascii="Times New Roman" w:hAnsi="Times New Roman" w:eastAsia="仿宋_GB2312" w:cs="Times New Roman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万余名，建立数据采集与服务反馈闭环机制，实时响应用户诉求，实现岸电使用、监管、服务全流程闭环管理。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三是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整合资源实现一体化服务，接入江苏省、上海市、国家电网有限公司等单位长江干线岸电相关系统，统一整合至“长江e+”平台，实现“一键扫码用电”，构建基础数据统一、监管与服务闭环的智慧岸电监管体系。系统上线以来，累计关联主管部门账户</w:t>
      </w:r>
      <w:r>
        <w:rPr>
          <w:rFonts w:ascii="Times New Roman" w:hAnsi="Times New Roman" w:eastAsia="仿宋_GB2312" w:cs="Times New Roman"/>
          <w:sz w:val="32"/>
          <w:szCs w:val="32"/>
        </w:rPr>
        <w:t>2499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个、港口企业账户</w:t>
      </w:r>
      <w:r>
        <w:rPr>
          <w:rFonts w:ascii="Times New Roman" w:hAnsi="Times New Roman" w:eastAsia="仿宋_GB2312" w:cs="Times New Roman"/>
          <w:sz w:val="32"/>
          <w:szCs w:val="32"/>
        </w:rPr>
        <w:t>2625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个、航运企业账户</w:t>
      </w:r>
      <w:r>
        <w:rPr>
          <w:rFonts w:ascii="Times New Roman" w:hAnsi="Times New Roman" w:eastAsia="仿宋_GB2312" w:cs="Times New Roman"/>
          <w:sz w:val="32"/>
          <w:szCs w:val="32"/>
        </w:rPr>
        <w:t>3107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个，录入岸电设备</w:t>
      </w:r>
      <w:r>
        <w:rPr>
          <w:rFonts w:ascii="Times New Roman" w:hAnsi="Times New Roman" w:eastAsia="仿宋_GB2312" w:cs="Times New Roman"/>
          <w:sz w:val="32"/>
          <w:szCs w:val="32"/>
        </w:rPr>
        <w:t>14911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套，实现长江干线岸电监管要素全覆盖，推动岸电设施智能化、平台功能自动化、监管模式协同化。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6D2AD4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2EAD614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2EAD614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9F7AF35"/>
    <w:multiLevelType w:val="singleLevel"/>
    <w:tmpl w:val="C9F7AF3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107060"/>
    <w:rsid w:val="49107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2026-01-05T01:57:00Z</dcterms:created>
  <dc:creator> </dc:creator>
  <cp:lastModifiedBy> </cp:lastModifiedBy>
  <dcterms:modified xsi:type="dcterms:W3CDTF">2026-01-05T01:58:22Z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5B333C8D1D6945D58CF4B875BFA955D0_11</vt:lpwstr>
  </property>
  <property fmtid="{D5CDD505-2E9C-101B-9397-08002B2CF9AE}" pid="4" name="KSOTemplateDocerSaveRecord">
    <vt:lpwstr>eyJoZGlkIjoiMGY5YzExYzdiNzdjMzk1YTc1NjUwYWI4YjU4MzgyYjEiLCJ1c2VySWQiOiIzNjg3NDIyNzAifQ==</vt:lpwstr>
  </property>
</Properties>
</file>