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6DF49E">
      <w:pPr>
        <w:widowControl/>
        <w:spacing w:line="58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附件2</w:t>
      </w:r>
    </w:p>
    <w:p w14:paraId="15C48244">
      <w:pPr>
        <w:adjustRightInd/>
        <w:snapToGrid w:val="0"/>
        <w:spacing w:beforeLines="0" w:afterLines="0"/>
        <w:jc w:val="center"/>
        <w:outlineLvl w:val="9"/>
        <w:rPr>
          <w:rFonts w:hint="eastAsia" w:ascii="Times New Roman" w:hAnsi="Times New Roman" w:eastAsia="方正小标宋_GBK" w:cs="Times New Roman"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_GBK" w:cs="Times New Roman"/>
          <w:sz w:val="44"/>
          <w:szCs w:val="44"/>
        </w:rPr>
        <w:t>试点任务典型经验</w:t>
      </w:r>
    </w:p>
    <w:bookmarkEnd w:id="0"/>
    <w:p w14:paraId="65101F92">
      <w:pPr>
        <w:widowControl/>
        <w:autoSpaceDE w:val="0"/>
        <w:autoSpaceDN w:val="0"/>
        <w:spacing w:line="580" w:lineRule="exact"/>
        <w:jc w:val="both"/>
        <w:outlineLvl w:val="0"/>
        <w:rPr>
          <w:rFonts w:ascii="Times New Roman" w:hAnsi="Times New Roman" w:eastAsia="方正小标宋_GBK" w:cs="Times New Roman"/>
          <w:bCs/>
          <w:sz w:val="44"/>
          <w:szCs w:val="36"/>
        </w:rPr>
      </w:pPr>
    </w:p>
    <w:p w14:paraId="593F6E9D"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一、构建跨域协同的岸电推广联动机制</w:t>
      </w:r>
    </w:p>
    <w:p w14:paraId="35DA91BC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岸电推广涉及主体多、覆盖范围广、协同难度大，长江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航务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管理局以机制、政策、标准、数据“四维协同”，打破管理壁垒，凝聚岸电推广合力。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建立跨主体协同机制。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建立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长江水系港口和船舶岸电工作协调机制，联合长江沿线11省市交通运输主管部门、国家电网、科研单位、海事机构等23家单位，搭建联席会议制度与专项工作组，形成“央地联动、政企协同、产学研用一体”的责任落实体系，统筹解决岸电建设、适配、监管中的跨领域问题。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二是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完善政策协同体系。推动顶层设计与地方实践衔接，参与修订《港口和船舶岸电管理办法》，助力江苏、安徽、重庆等省市出台船舶污染防治条例，明确岸电安装使用要求、惩罚与激励措施；推动上海、浙江等8省市出台电价优惠、改造奖补等政策性文件，形成中央补贴与地方支持相呼应的政策闭环。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三是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推动标准共建共享。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会同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部海事局完善船舶检验法规，推动出台《船舶岸电系统船载装置检验指南》；组织重庆、湖北、江苏三省市开展4类船型54艘船舶改造试点，形成13种典型技术方案，解决长期存在的船岸接口不匹配等问题。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四是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实现全链条数据互通。整合港口岸电设施服务、船舶改造填报、监管与服务信息等系统，构建船舶靠港使用岸电智慧监管服务体系，打破港、船、电、监管等多方数据壁垒，实现设施信息、改造进度、用电数据实时共享。通过试点实施，长江干线岸电相关数据接入率达到96.7%，长江经济带岸电设施覆盖率达94%，有效破解了“用电难、协同难、推广难”等难题。</w:t>
      </w:r>
    </w:p>
    <w:p w14:paraId="610815EF"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二、打造</w:t>
      </w:r>
      <w:r>
        <w:rPr>
          <w:rFonts w:ascii="Times New Roman" w:hAnsi="Times New Roman" w:eastAsia="黑体" w:cs="Times New Roman"/>
          <w:bCs/>
          <w:sz w:val="32"/>
          <w:szCs w:val="32"/>
        </w:rPr>
        <w:t>全场景岸电设施</w:t>
      </w:r>
      <w:r>
        <w:rPr>
          <w:rFonts w:hint="eastAsia" w:ascii="Times New Roman" w:hAnsi="Times New Roman" w:eastAsia="黑体" w:cs="Times New Roman"/>
          <w:bCs/>
          <w:sz w:val="32"/>
          <w:szCs w:val="32"/>
        </w:rPr>
        <w:t>适配</w:t>
      </w:r>
      <w:r>
        <w:rPr>
          <w:rFonts w:ascii="Times New Roman" w:hAnsi="Times New Roman" w:eastAsia="黑体" w:cs="Times New Roman"/>
          <w:bCs/>
          <w:sz w:val="32"/>
          <w:szCs w:val="32"/>
        </w:rPr>
        <w:t>改造升级模式</w:t>
      </w:r>
    </w:p>
    <w:p w14:paraId="1FF7449F">
      <w:pPr>
        <w:spacing w:line="580" w:lineRule="exact"/>
        <w:ind w:firstLine="640" w:firstLineChars="200"/>
        <w:rPr>
          <w:rFonts w:ascii="Times New Roman" w:hAnsi="Times New Roman" w:eastAsia="方正仿宋_GB2312" w:cs="Times New Roman"/>
          <w:sz w:val="32"/>
        </w:rPr>
      </w:pPr>
      <w:r>
        <w:rPr>
          <w:rFonts w:hint="eastAsia" w:ascii="仿宋_GB2312" w:hAnsi="仿宋_GB2312" w:eastAsia="仿宋_GB2312" w:cs="仿宋_GB2312"/>
          <w:sz w:val="32"/>
        </w:rPr>
        <w:t>针对长江干线水文条件复杂、船型多样、靠泊需求差异化等问题，联合研发</w:t>
      </w:r>
      <w:r>
        <w:rPr>
          <w:rFonts w:hint="eastAsia" w:ascii="Times New Roman" w:hAnsi="Times New Roman" w:eastAsia="方正仿宋_GB2312" w:cs="Times New Roman"/>
          <w:sz w:val="32"/>
        </w:rPr>
        <w:t>6</w:t>
      </w:r>
      <w:r>
        <w:rPr>
          <w:rFonts w:hint="eastAsia" w:ascii="仿宋_GB2312" w:hAnsi="仿宋_GB2312" w:eastAsia="仿宋_GB2312" w:cs="仿宋_GB2312"/>
          <w:sz w:val="32"/>
        </w:rPr>
        <w:t>类典型岸电供电系统，实现“船到电通、供给无忧”的全场景覆盖</w:t>
      </w:r>
      <w:r>
        <w:rPr>
          <w:rFonts w:hint="eastAsia" w:ascii="Times New Roman" w:hAnsi="Times New Roman" w:eastAsia="方正仿宋_GB2312" w:cs="Times New Roman"/>
          <w:sz w:val="32"/>
        </w:rPr>
        <w:t>。</w:t>
      </w:r>
      <w:r>
        <w:rPr>
          <w:rFonts w:hint="eastAsia" w:ascii="仿宋_GB2312" w:hAnsi="仿宋_GB2312" w:eastAsia="仿宋_GB2312" w:cs="仿宋_GB2312"/>
          <w:b/>
          <w:sz w:val="32"/>
        </w:rPr>
        <w:t>一是</w:t>
      </w:r>
      <w:r>
        <w:rPr>
          <w:rFonts w:hint="eastAsia" w:ascii="仿宋_GB2312" w:hAnsi="仿宋_GB2312" w:eastAsia="仿宋_GB2312" w:cs="仿宋_GB2312"/>
          <w:sz w:val="32"/>
        </w:rPr>
        <w:t>研发靠岸固定式供电系统，设备固定安装于码头，通过电缆卷盘与桥架适配靠泊船舶，解决水位变化带来的接电难题，适用于集装箱码头、干散货码头等固定泊位。</w:t>
      </w:r>
      <w:r>
        <w:rPr>
          <w:rFonts w:hint="eastAsia" w:ascii="仿宋_GB2312" w:hAnsi="仿宋_GB2312" w:eastAsia="仿宋_GB2312" w:cs="仿宋_GB2312"/>
          <w:b/>
          <w:sz w:val="32"/>
        </w:rPr>
        <w:t>二是</w:t>
      </w:r>
      <w:r>
        <w:rPr>
          <w:rFonts w:hint="eastAsia" w:ascii="仿宋_GB2312" w:hAnsi="仿宋_GB2312" w:eastAsia="仿宋_GB2312" w:cs="仿宋_GB2312"/>
          <w:sz w:val="32"/>
        </w:rPr>
        <w:t>研发靠岸浮动式供电系统，将部分电气设备安装于近岸趸船，通过斜坡道高压电缆收放系统，破解游轮码头高落差、远距离供电难题。</w:t>
      </w:r>
      <w:r>
        <w:rPr>
          <w:rFonts w:hint="eastAsia" w:ascii="仿宋_GB2312" w:hAnsi="仿宋_GB2312" w:eastAsia="仿宋_GB2312" w:cs="仿宋_GB2312"/>
          <w:b/>
          <w:sz w:val="32"/>
        </w:rPr>
        <w:t>三是</w:t>
      </w:r>
      <w:r>
        <w:rPr>
          <w:rFonts w:hint="eastAsia" w:ascii="仿宋_GB2312" w:hAnsi="仿宋_GB2312" w:eastAsia="仿宋_GB2312" w:cs="仿宋_GB2312"/>
          <w:sz w:val="32"/>
        </w:rPr>
        <w:t>研发离岸固定式供电系统，在江心靠船墩顶端安装岸电接口箱与电缆卷盘，沿墩体设置移动轨道，适配水位变化实现电缆自动收放，解决江心垂直停靠货船的岸电接入问题。</w:t>
      </w:r>
      <w:r>
        <w:rPr>
          <w:rFonts w:hint="eastAsia" w:ascii="仿宋_GB2312" w:hAnsi="仿宋_GB2312" w:eastAsia="仿宋_GB2312" w:cs="仿宋_GB2312"/>
          <w:b/>
          <w:sz w:val="32"/>
        </w:rPr>
        <w:t>四是</w:t>
      </w:r>
      <w:r>
        <w:rPr>
          <w:rFonts w:hint="eastAsia" w:ascii="仿宋_GB2312" w:hAnsi="仿宋_GB2312" w:eastAsia="仿宋_GB2312" w:cs="仿宋_GB2312"/>
          <w:sz w:val="32"/>
        </w:rPr>
        <w:t>研发离岸浮动式供电系统，通过江底电缆连接江心浮趸，配置恒张力电缆卷盘，满足靠船墩系泊及江心抛锚自泊船舶的用电需求。</w:t>
      </w:r>
      <w:r>
        <w:rPr>
          <w:rFonts w:hint="eastAsia" w:ascii="仿宋_GB2312" w:hAnsi="仿宋_GB2312" w:eastAsia="仿宋_GB2312" w:cs="仿宋_GB2312"/>
          <w:b/>
          <w:sz w:val="32"/>
        </w:rPr>
        <w:t>五是</w:t>
      </w:r>
      <w:r>
        <w:rPr>
          <w:rFonts w:hint="eastAsia" w:ascii="仿宋_GB2312" w:hAnsi="仿宋_GB2312" w:eastAsia="仿宋_GB2312" w:cs="仿宋_GB2312"/>
          <w:sz w:val="32"/>
        </w:rPr>
        <w:t>研发水上服务区综合能源保障系统，以多艘趸船组建服务平台，整合岸电与储能设备，为待闸船舶提供电力、生活补给等一体化服务。</w:t>
      </w:r>
      <w:r>
        <w:rPr>
          <w:rFonts w:hint="eastAsia" w:ascii="仿宋_GB2312" w:hAnsi="仿宋_GB2312" w:eastAsia="仿宋_GB2312" w:cs="仿宋_GB2312"/>
          <w:b/>
          <w:sz w:val="32"/>
        </w:rPr>
        <w:t>六是</w:t>
      </w:r>
      <w:r>
        <w:rPr>
          <w:rFonts w:hint="eastAsia" w:ascii="仿宋_GB2312" w:hAnsi="仿宋_GB2312" w:eastAsia="仿宋_GB2312" w:cs="仿宋_GB2312"/>
          <w:sz w:val="32"/>
        </w:rPr>
        <w:t>研发船电宝充换电服务系统，推出移动式储能设备，由电动服务船运送至离岸较远的待闸船舶，解决</w:t>
      </w:r>
      <w:r>
        <w:rPr>
          <w:rFonts w:hint="default" w:ascii="Times New Roman" w:hAnsi="Times New Roman" w:eastAsia="仿宋_GB2312" w:cs="Times New Roman"/>
          <w:sz w:val="32"/>
        </w:rPr>
        <w:t>2000</w:t>
      </w:r>
      <w:r>
        <w:rPr>
          <w:rFonts w:hint="eastAsia" w:ascii="仿宋_GB2312" w:hAnsi="仿宋_GB2312" w:eastAsia="仿宋_GB2312" w:cs="仿宋_GB2312"/>
          <w:sz w:val="32"/>
        </w:rPr>
        <w:t>—</w:t>
      </w:r>
      <w:r>
        <w:rPr>
          <w:rFonts w:hint="default" w:ascii="Times New Roman" w:hAnsi="Times New Roman" w:eastAsia="仿宋_GB2312" w:cs="Times New Roman"/>
          <w:sz w:val="32"/>
        </w:rPr>
        <w:t>5000</w:t>
      </w:r>
      <w:r>
        <w:rPr>
          <w:rFonts w:hint="eastAsia" w:ascii="仿宋_GB2312" w:hAnsi="仿宋_GB2312" w:eastAsia="仿宋_GB2312" w:cs="仿宋_GB2312"/>
          <w:sz w:val="32"/>
        </w:rPr>
        <w:t>吨级船舶江心锚地用电难题。通过试点实施，不同模式覆盖了长江干线从上游峡谷到下游枢纽、从客运游轮到货运船舶的全场景需求，为全国内河岸电改造提供了可复制的工程样板</w:t>
      </w:r>
      <w:r>
        <w:rPr>
          <w:rFonts w:hint="eastAsia" w:ascii="Times New Roman" w:hAnsi="Times New Roman" w:eastAsia="方正仿宋_GB2312" w:cs="Times New Roman"/>
          <w:sz w:val="32"/>
        </w:rPr>
        <w:t>。</w:t>
      </w:r>
    </w:p>
    <w:p w14:paraId="7FB388FF"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三、</w:t>
      </w:r>
      <w:r>
        <w:rPr>
          <w:rFonts w:ascii="Times New Roman" w:hAnsi="Times New Roman" w:eastAsia="黑体" w:cs="Times New Roman"/>
          <w:sz w:val="32"/>
          <w:szCs w:val="32"/>
        </w:rPr>
        <w:t>构建</w:t>
      </w:r>
      <w:r>
        <w:rPr>
          <w:rFonts w:hint="eastAsia" w:ascii="Times New Roman" w:hAnsi="Times New Roman" w:eastAsia="黑体" w:cs="Times New Roman"/>
          <w:sz w:val="32"/>
          <w:szCs w:val="32"/>
        </w:rPr>
        <w:t>精准高效的</w:t>
      </w:r>
      <w:r>
        <w:rPr>
          <w:rFonts w:ascii="Times New Roman" w:hAnsi="Times New Roman" w:eastAsia="黑体" w:cs="Times New Roman"/>
          <w:sz w:val="32"/>
          <w:szCs w:val="32"/>
        </w:rPr>
        <w:t>岸电使用监管范式</w:t>
      </w:r>
    </w:p>
    <w:p w14:paraId="57763CD9">
      <w:pPr>
        <w:spacing w:line="580" w:lineRule="exact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针对岸电监管“情况摸不清、违规成本低、执行标准不统一”等问题，打造“智能+信用+法治”的三位一体监管体系，提升岸电使用效能。</w:t>
      </w:r>
      <w:r>
        <w:rPr>
          <w:rFonts w:hint="eastAsia" w:ascii="仿宋_GB2312" w:hAnsi="Times New Roman" w:eastAsia="仿宋_GB2312" w:cs="Times New Roman"/>
          <w:b/>
          <w:sz w:val="32"/>
          <w:szCs w:val="32"/>
        </w:rPr>
        <w:t>一是</w:t>
      </w:r>
      <w:r>
        <w:rPr>
          <w:rFonts w:hint="eastAsia" w:ascii="仿宋_GB2312" w:hAnsi="Times New Roman" w:eastAsia="仿宋_GB2312" w:cs="Times New Roman"/>
          <w:sz w:val="32"/>
          <w:szCs w:val="32"/>
        </w:rPr>
        <w:t>推进智能化精准监管，开发运行岸电监管与服务信息系统，绘制码头电子围栏，通过</w:t>
      </w:r>
      <w:r>
        <w:rPr>
          <w:rFonts w:ascii="Times New Roman" w:hAnsi="Times New Roman" w:eastAsia="仿宋_GB2312" w:cs="Times New Roman"/>
          <w:sz w:val="32"/>
          <w:szCs w:val="32"/>
        </w:rPr>
        <w:t>AIS</w:t>
      </w:r>
      <w:r>
        <w:rPr>
          <w:rFonts w:hint="eastAsia" w:ascii="仿宋_GB2312" w:hAnsi="Times New Roman" w:eastAsia="仿宋_GB2312" w:cs="Times New Roman"/>
          <w:sz w:val="32"/>
          <w:szCs w:val="32"/>
        </w:rPr>
        <w:t>信号自动识别靠港未规范使用岸电船舶，并自动预警，实现“精准打击”式监管。</w:t>
      </w:r>
      <w:r>
        <w:rPr>
          <w:rFonts w:hint="eastAsia" w:ascii="仿宋_GB2312" w:hAnsi="Times New Roman" w:eastAsia="仿宋_GB2312" w:cs="Times New Roman"/>
          <w:b/>
          <w:sz w:val="32"/>
          <w:szCs w:val="32"/>
        </w:rPr>
        <w:t>二是</w:t>
      </w:r>
      <w:r>
        <w:rPr>
          <w:rFonts w:hint="eastAsia" w:ascii="仿宋_GB2312" w:hAnsi="Times New Roman" w:eastAsia="仿宋_GB2312" w:cs="Times New Roman"/>
          <w:sz w:val="32"/>
          <w:szCs w:val="32"/>
        </w:rPr>
        <w:t>推广信用分级管控，将岸电设施改造、靠港使用情况纳入“信用长江”系统，建立“绿、蓝、黄、红”四色信用赋码评价机制，对积极使用岸电的船舶给予优先过闸等激励，对违规船舶实施信用扣分。</w:t>
      </w:r>
      <w:r>
        <w:rPr>
          <w:rFonts w:hint="eastAsia" w:ascii="仿宋_GB2312" w:hAnsi="Times New Roman" w:eastAsia="仿宋_GB2312" w:cs="Times New Roman"/>
          <w:b/>
          <w:sz w:val="32"/>
          <w:szCs w:val="32"/>
        </w:rPr>
        <w:t>三是</w:t>
      </w:r>
      <w:r>
        <w:rPr>
          <w:rFonts w:hint="eastAsia" w:ascii="仿宋_GB2312" w:hAnsi="Times New Roman" w:eastAsia="仿宋_GB2312" w:cs="Times New Roman"/>
          <w:sz w:val="32"/>
          <w:szCs w:val="32"/>
        </w:rPr>
        <w:t>推行标准化执法，组织编制《长江干线船舶靠港使用岸电监管工作指南》《船舶靠港使用岸电执法工作手册》等执法规范，明确执法流程、检查要点与处罚标准，解决基层执法尺度不一等问题。通过试点实施，长江干线各类靠港船舶岸电应用尽用率平均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达到</w:t>
      </w:r>
      <w:r>
        <w:rPr>
          <w:rFonts w:ascii="Times New Roman" w:hAnsi="Times New Roman" w:eastAsia="仿宋_GB2312" w:cs="Times New Roman"/>
          <w:sz w:val="32"/>
          <w:szCs w:val="32"/>
        </w:rPr>
        <w:t>98%，</w:t>
      </w:r>
      <w:r>
        <w:rPr>
          <w:rFonts w:hint="eastAsia" w:ascii="仿宋_GB2312" w:hAnsi="Times New Roman" w:eastAsia="仿宋_GB2312" w:cs="Times New Roman"/>
          <w:sz w:val="32"/>
          <w:szCs w:val="32"/>
        </w:rPr>
        <w:t>推动船舶靠港使用岸电由“不想用”到“主动用”的转变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 w14:paraId="580DFBDE">
      <w:pPr>
        <w:spacing w:line="580" w:lineRule="exact"/>
        <w:ind w:firstLine="640" w:firstLineChars="200"/>
        <w:rPr>
          <w:rFonts w:ascii="Times New Roman" w:hAnsi="Times New Roman" w:eastAsia="黑体" w:cs="Times New Roman"/>
          <w:color w:val="FF0000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四、</w:t>
      </w:r>
      <w:r>
        <w:rPr>
          <w:rFonts w:ascii="Times New Roman" w:hAnsi="Times New Roman" w:eastAsia="黑体" w:cs="Times New Roman"/>
          <w:sz w:val="32"/>
          <w:szCs w:val="32"/>
        </w:rPr>
        <w:t>打造多元</w:t>
      </w:r>
      <w:r>
        <w:rPr>
          <w:rFonts w:hint="eastAsia" w:ascii="Times New Roman" w:hAnsi="Times New Roman" w:eastAsia="黑体" w:cs="Times New Roman"/>
          <w:sz w:val="32"/>
          <w:szCs w:val="32"/>
        </w:rPr>
        <w:t>赋能的</w:t>
      </w:r>
      <w:r>
        <w:rPr>
          <w:rFonts w:ascii="Times New Roman" w:hAnsi="Times New Roman" w:eastAsia="黑体" w:cs="Times New Roman"/>
          <w:sz w:val="32"/>
          <w:szCs w:val="32"/>
        </w:rPr>
        <w:t>岸电产业</w:t>
      </w:r>
      <w:r>
        <w:rPr>
          <w:rFonts w:hint="eastAsia" w:ascii="Times New Roman" w:hAnsi="Times New Roman" w:eastAsia="黑体" w:cs="Times New Roman"/>
          <w:sz w:val="32"/>
          <w:szCs w:val="32"/>
        </w:rPr>
        <w:t>发展</w:t>
      </w:r>
      <w:r>
        <w:rPr>
          <w:rFonts w:ascii="Times New Roman" w:hAnsi="Times New Roman" w:eastAsia="黑体" w:cs="Times New Roman"/>
          <w:sz w:val="32"/>
          <w:szCs w:val="32"/>
        </w:rPr>
        <w:t>体系</w:t>
      </w:r>
    </w:p>
    <w:p w14:paraId="1C3AFE48">
      <w:pPr>
        <w:spacing w:line="580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针对岸电建设投入大、投资回报周期长、产业协同不足等问题，构建“政府引导、市场运作、多方参与”的多元发展模式，激活产业生态活力。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多元化资金保障，协调中央预算内补助资金，联动地方政府配套补贴，引导国家电网相关企业、港口集团、航运企业等社会资本参与，形成“政府</w:t>
      </w:r>
      <w:r>
        <w:rPr>
          <w:rFonts w:ascii="Times New Roman" w:hAnsi="Times New Roman" w:eastAsia="仿宋_GB2312" w:cs="Times New Roman"/>
          <w:sz w:val="32"/>
          <w:szCs w:val="32"/>
        </w:rPr>
        <w:t>+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电力</w:t>
      </w:r>
      <w:r>
        <w:rPr>
          <w:rFonts w:ascii="Times New Roman" w:hAnsi="Times New Roman" w:eastAsia="仿宋_GB2312" w:cs="Times New Roman"/>
          <w:sz w:val="32"/>
          <w:szCs w:val="32"/>
        </w:rPr>
        <w:t>+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港口</w:t>
      </w:r>
      <w:r>
        <w:rPr>
          <w:rFonts w:ascii="Times New Roman" w:hAnsi="Times New Roman" w:eastAsia="仿宋_GB2312" w:cs="Times New Roman"/>
          <w:sz w:val="32"/>
          <w:szCs w:val="32"/>
        </w:rPr>
        <w:t>+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航运”的多元投资格局。</w:t>
      </w:r>
      <w:r>
        <w:rPr>
          <w:rFonts w:hint="eastAsia" w:ascii="Times New Roman" w:hAnsi="Times New Roman" w:eastAsia="仿宋_GB2312" w:cs="Times New Roman"/>
          <w:b/>
          <w:sz w:val="32"/>
          <w:szCs w:val="32"/>
        </w:rPr>
        <w:t>二是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推动市场化运营，成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立国内首家专业化岸电运营公司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——宜昌长江三峡岸电技术有限公司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，提供“建设—运维—服务”一体化服务，建立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7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×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24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小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时服务热线与微信工作群，推行“线上一网一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群、线下一站一点”服务网络，提升运维与服务质量。</w:t>
      </w:r>
      <w:r>
        <w:rPr>
          <w:rFonts w:hint="eastAsia" w:ascii="Times New Roman" w:hAnsi="Times New Roman" w:eastAsia="仿宋_GB2312" w:cs="Times New Roman"/>
          <w:b/>
          <w:color w:val="auto"/>
          <w:sz w:val="32"/>
          <w:szCs w:val="32"/>
        </w:rPr>
        <w:t>三是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培育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岸电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全链条产业，通过标准化建设与大规模需求牵引，引导成立十余家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岸电设备相关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专业化企业，推动形成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岸电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“研发—制造—运维”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相关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产业链条。通过试点实施，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累计支持改造船舶约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1.8万艘，建成岸电设施1.49万套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，带动岸电设备研发、设计、安装、使用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、服务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等全产业链广泛参与和上下游协同发展，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为长江航运绿色转型提供了坚实产业支撑。</w:t>
      </w:r>
    </w:p>
    <w:p w14:paraId="4DDA5D24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5272DF4-571A-47FE-A221-BC0F2F59E20C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57E6B0C0-3F41-41F6-A4A4-83ED211321D6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C653992E-1709-4243-9404-8E055AD80693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63C8DD8E-D7BA-4D62-816F-6AE90446BC2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6D2AD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EAD614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2EAD614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107060"/>
    <w:rsid w:val="49107060"/>
    <w:rsid w:val="4CD92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2026-01-05T01:57:00Z</dcterms:created>
  <dc:creator> </dc:creator>
  <cp:lastModifiedBy> </cp:lastModifiedBy>
  <dcterms:modified xsi:type="dcterms:W3CDTF">2026-01-05T01:58:51Z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DDB69914395244DE8FC45087076ADF9F_13</vt:lpwstr>
  </property>
  <property fmtid="{D5CDD505-2E9C-101B-9397-08002B2CF9AE}" pid="4" name="KSOTemplateDocerSaveRecord">
    <vt:lpwstr>eyJoZGlkIjoiMGY5YzExYzdiNzdjMzk1YTc1NjUwYWI4YjU4MzgyYjEiLCJ1c2VySWQiOiIzNjg3NDIyNzAifQ==</vt:lpwstr>
  </property>
</Properties>
</file>