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7B229">
      <w:pPr>
        <w:widowControl/>
        <w:spacing w:line="58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附件3</w:t>
      </w:r>
    </w:p>
    <w:p w14:paraId="24B532FE">
      <w:pPr>
        <w:snapToGrid w:val="0"/>
        <w:spacing w:before="0" w:beforeLines="0" w:after="0" w:afterLines="0"/>
        <w:jc w:val="center"/>
        <w:rPr>
          <w:rFonts w:hint="eastAsia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sz w:val="44"/>
          <w:szCs w:val="44"/>
        </w:rPr>
        <w:t>试点任务成果清单</w:t>
      </w:r>
      <w:bookmarkEnd w:id="0"/>
    </w:p>
    <w:p w14:paraId="04969C5F">
      <w:pPr>
        <w:autoSpaceDE w:val="0"/>
        <w:autoSpaceDN w:val="0"/>
        <w:spacing w:before="0" w:beforeLines="0" w:after="0" w:afterLines="0" w:line="580" w:lineRule="exact"/>
        <w:jc w:val="center"/>
        <w:outlineLvl w:val="0"/>
        <w:rPr>
          <w:rFonts w:hint="default" w:ascii="Times New Roman" w:hAnsi="Times New Roman" w:eastAsia="方正小标宋_GBK" w:cs="Times New Roman"/>
          <w:bCs/>
          <w:sz w:val="44"/>
          <w:szCs w:val="36"/>
        </w:rPr>
      </w:pPr>
    </w:p>
    <w:tbl>
      <w:tblPr>
        <w:tblStyle w:val="3"/>
        <w:tblW w:w="89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6660"/>
        <w:gridCol w:w="1455"/>
      </w:tblGrid>
      <w:tr w14:paraId="372CB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tblHeader/>
          <w:jc w:val="center"/>
        </w:trPr>
        <w:tc>
          <w:tcPr>
            <w:tcW w:w="832" w:type="dxa"/>
            <w:noWrap w:val="0"/>
            <w:vAlign w:val="center"/>
          </w:tcPr>
          <w:p w14:paraId="00971B95">
            <w:pPr>
              <w:kinsoku w:val="0"/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ascii="黑体" w:hAnsi="黑体" w:eastAsia="黑体"/>
                <w:bCs/>
                <w:sz w:val="28"/>
                <w:szCs w:val="28"/>
              </w:rPr>
              <w:t>序号</w:t>
            </w:r>
          </w:p>
        </w:tc>
        <w:tc>
          <w:tcPr>
            <w:tcW w:w="6660" w:type="dxa"/>
            <w:noWrap w:val="0"/>
            <w:vAlign w:val="center"/>
          </w:tcPr>
          <w:p w14:paraId="1EE3C441">
            <w:pPr>
              <w:kinsoku w:val="0"/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ascii="黑体" w:hAnsi="黑体" w:eastAsia="黑体"/>
                <w:bCs/>
                <w:sz w:val="28"/>
                <w:szCs w:val="28"/>
              </w:rPr>
              <w:t>成果名称</w:t>
            </w:r>
          </w:p>
        </w:tc>
        <w:tc>
          <w:tcPr>
            <w:tcW w:w="1455" w:type="dxa"/>
            <w:noWrap w:val="0"/>
            <w:vAlign w:val="center"/>
          </w:tcPr>
          <w:p w14:paraId="25744689">
            <w:pPr>
              <w:kinsoku w:val="0"/>
              <w:adjustRightInd w:val="0"/>
              <w:snapToGrid w:val="0"/>
              <w:spacing w:line="240" w:lineRule="atLeast"/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ascii="黑体" w:hAnsi="黑体" w:eastAsia="黑体"/>
                <w:bCs/>
                <w:sz w:val="28"/>
                <w:szCs w:val="28"/>
              </w:rPr>
              <w:t>成果属性</w:t>
            </w:r>
          </w:p>
        </w:tc>
      </w:tr>
      <w:tr w14:paraId="2A35E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419D75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6660" w:type="dxa"/>
            <w:noWrap w:val="0"/>
            <w:vAlign w:val="center"/>
          </w:tcPr>
          <w:p w14:paraId="15458DC9">
            <w:pPr>
              <w:widowControl w:val="0"/>
              <w:adjustRightInd w:val="0"/>
              <w:snapToGrid w:val="0"/>
              <w:spacing w:line="240" w:lineRule="atLeast"/>
              <w:jc w:val="both"/>
              <w:rPr>
                <w:rFonts w:ascii="Times New Roman" w:hAnsi="Times New Roman" w:eastAsia="仿宋_GB2312" w:cs="Times New Roman"/>
                <w:color w:val="FF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长航局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关于印发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交通强国建设长江干线港口和船舶岸电试点工作实施方案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〉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的函》（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长航函道〔2022〕169号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08690F57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政策文件</w:t>
            </w:r>
          </w:p>
        </w:tc>
      </w:tr>
      <w:tr w14:paraId="5A5B5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08DEC5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6660" w:type="dxa"/>
            <w:noWrap w:val="0"/>
            <w:vAlign w:val="center"/>
          </w:tcPr>
          <w:p w14:paraId="24B96CD2">
            <w:pPr>
              <w:widowControl w:val="0"/>
              <w:adjustRightInd w:val="0"/>
              <w:snapToGrid w:val="0"/>
              <w:spacing w:line="240" w:lineRule="atLeast"/>
              <w:jc w:val="both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《长航局关于进一步推动船舶靠港使用岸电工作的通知》（长航函道〔2022〕188号）</w:t>
            </w:r>
          </w:p>
        </w:tc>
        <w:tc>
          <w:tcPr>
            <w:tcW w:w="1455" w:type="dxa"/>
            <w:noWrap w:val="0"/>
            <w:vAlign w:val="center"/>
          </w:tcPr>
          <w:p w14:paraId="1D51CC3F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政策文件</w:t>
            </w:r>
          </w:p>
        </w:tc>
      </w:tr>
      <w:tr w14:paraId="28B9F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1692889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6660" w:type="dxa"/>
            <w:noWrap w:val="0"/>
            <w:vAlign w:val="center"/>
          </w:tcPr>
          <w:p w14:paraId="12DBBC5F">
            <w:pPr>
              <w:widowControl w:val="0"/>
              <w:adjustRightInd w:val="0"/>
              <w:snapToGrid w:val="0"/>
              <w:spacing w:line="240" w:lineRule="atLeast"/>
              <w:jc w:val="both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《交通运输部长江航务管理局关于印发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长江经济带港口和船舶岸电监管与服务信息系统推广应用方案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〉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的通知》（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长航函道〔2024〕280号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204880E0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政策文件</w:t>
            </w:r>
          </w:p>
        </w:tc>
      </w:tr>
      <w:tr w14:paraId="03DA1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1D773E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6660" w:type="dxa"/>
            <w:noWrap w:val="0"/>
            <w:vAlign w:val="center"/>
          </w:tcPr>
          <w:p w14:paraId="0751BA59">
            <w:pPr>
              <w:widowControl w:val="0"/>
              <w:adjustRightInd w:val="0"/>
              <w:snapToGrid w:val="0"/>
              <w:spacing w:line="240" w:lineRule="atLeast"/>
              <w:jc w:val="both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《长航局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关于印发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长江水系港口和船舶岸电工作协调机制</w:t>
            </w: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〉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的通知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》（长航人教〔2021〕60号）</w:t>
            </w:r>
          </w:p>
        </w:tc>
        <w:tc>
          <w:tcPr>
            <w:tcW w:w="1455" w:type="dxa"/>
            <w:noWrap w:val="0"/>
            <w:vAlign w:val="center"/>
          </w:tcPr>
          <w:p w14:paraId="4D743F5A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体制机制</w:t>
            </w:r>
          </w:p>
        </w:tc>
      </w:tr>
      <w:tr w14:paraId="4FE34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6AAA6E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6660" w:type="dxa"/>
            <w:noWrap w:val="0"/>
            <w:vAlign w:val="center"/>
          </w:tcPr>
          <w:p w14:paraId="7030F3C0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《港口岸电设施术语》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GB/T 41999—2022）</w:t>
            </w:r>
          </w:p>
        </w:tc>
        <w:tc>
          <w:tcPr>
            <w:tcW w:w="1455" w:type="dxa"/>
            <w:noWrap w:val="0"/>
            <w:vAlign w:val="center"/>
          </w:tcPr>
          <w:p w14:paraId="024B19B4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58750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0391A5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6660" w:type="dxa"/>
            <w:noWrap w:val="0"/>
            <w:vAlign w:val="center"/>
          </w:tcPr>
          <w:p w14:paraId="263C4E5C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《港口岸电系统建设导则 第1部分：电网侧》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GB/T44185.1—2024）</w:t>
            </w:r>
          </w:p>
        </w:tc>
        <w:tc>
          <w:tcPr>
            <w:tcW w:w="1455" w:type="dxa"/>
            <w:noWrap w:val="0"/>
            <w:vAlign w:val="center"/>
          </w:tcPr>
          <w:p w14:paraId="1416D06A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7EF60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01FEC38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6660" w:type="dxa"/>
            <w:noWrap w:val="0"/>
            <w:vAlign w:val="center"/>
          </w:tcPr>
          <w:p w14:paraId="76ED22F5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《港口岸电系统运营与运维技术规范 第3部分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：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运营服务平台》（DL/T2476.3—2022）</w:t>
            </w:r>
          </w:p>
        </w:tc>
        <w:tc>
          <w:tcPr>
            <w:tcW w:w="1455" w:type="dxa"/>
            <w:noWrap w:val="0"/>
            <w:vAlign w:val="center"/>
          </w:tcPr>
          <w:p w14:paraId="0EC65A1B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2DCD8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7581524D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6660" w:type="dxa"/>
            <w:noWrap w:val="0"/>
            <w:vAlign w:val="center"/>
          </w:tcPr>
          <w:p w14:paraId="015A6E85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《岸基供电系统 第7部分：岸电电源检验技术规范》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DL/T2151.7—2023）</w:t>
            </w:r>
          </w:p>
        </w:tc>
        <w:tc>
          <w:tcPr>
            <w:tcW w:w="1455" w:type="dxa"/>
            <w:noWrap w:val="0"/>
            <w:vAlign w:val="center"/>
          </w:tcPr>
          <w:p w14:paraId="49F87984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1FA8A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57F8156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6660" w:type="dxa"/>
            <w:noWrap w:val="0"/>
            <w:vAlign w:val="center"/>
          </w:tcPr>
          <w:p w14:paraId="1885732E">
            <w:pPr>
              <w:widowControl/>
              <w:spacing w:line="420" w:lineRule="exact"/>
              <w:jc w:val="left"/>
              <w:textAlignment w:val="top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 w:bidi="ar"/>
              </w:rPr>
              <w:t>《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港口岸电系统接入电网技术规范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 w:bidi="ar"/>
              </w:rPr>
              <w:t>》</w:t>
            </w:r>
          </w:p>
          <w:p w14:paraId="243570C6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DL/T2586—2023）</w:t>
            </w:r>
          </w:p>
        </w:tc>
        <w:tc>
          <w:tcPr>
            <w:tcW w:w="1455" w:type="dxa"/>
            <w:noWrap w:val="0"/>
            <w:vAlign w:val="center"/>
          </w:tcPr>
          <w:p w14:paraId="42D4415B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18F82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5E17F89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6660" w:type="dxa"/>
            <w:noWrap w:val="0"/>
            <w:vAlign w:val="center"/>
          </w:tcPr>
          <w:p w14:paraId="4A495348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《港口岸电系统运营与运维技术规范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第4部分：站级系统》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DL/T2476.4—2024）</w:t>
            </w:r>
          </w:p>
        </w:tc>
        <w:tc>
          <w:tcPr>
            <w:tcW w:w="1455" w:type="dxa"/>
            <w:noWrap w:val="0"/>
            <w:vAlign w:val="center"/>
          </w:tcPr>
          <w:p w14:paraId="0ABB2EA7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8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727B9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70E15380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6660" w:type="dxa"/>
            <w:noWrap w:val="0"/>
            <w:vAlign w:val="center"/>
          </w:tcPr>
          <w:p w14:paraId="77333CD6">
            <w:pPr>
              <w:widowControl/>
              <w:adjustRightInd w:val="0"/>
              <w:snapToGrid w:val="0"/>
              <w:spacing w:line="420" w:lineRule="exact"/>
              <w:jc w:val="left"/>
              <w:textAlignment w:val="top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《港口岸电系统运营与运维技术规范 第5部分：分散式岸电桩接入单元》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DL/T2476.5—2024）</w:t>
            </w:r>
          </w:p>
        </w:tc>
        <w:tc>
          <w:tcPr>
            <w:tcW w:w="1455" w:type="dxa"/>
            <w:noWrap w:val="0"/>
            <w:vAlign w:val="center"/>
          </w:tcPr>
          <w:p w14:paraId="66B13460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5D0EA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29480D40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6660" w:type="dxa"/>
            <w:noWrap w:val="0"/>
            <w:vAlign w:val="center"/>
          </w:tcPr>
          <w:p w14:paraId="59444178">
            <w:pPr>
              <w:widowControl/>
              <w:adjustRightInd w:val="0"/>
              <w:snapToGrid w:val="0"/>
              <w:spacing w:line="420" w:lineRule="exact"/>
              <w:jc w:val="left"/>
              <w:textAlignment w:val="top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《低压交流岸电桩技术规范》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DL/T2803—2024）</w:t>
            </w:r>
          </w:p>
        </w:tc>
        <w:tc>
          <w:tcPr>
            <w:tcW w:w="1455" w:type="dxa"/>
            <w:noWrap w:val="0"/>
            <w:vAlign w:val="center"/>
          </w:tcPr>
          <w:p w14:paraId="397ADE22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标准规范</w:t>
            </w:r>
          </w:p>
        </w:tc>
      </w:tr>
      <w:tr w14:paraId="66B8C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666E6224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6660" w:type="dxa"/>
            <w:noWrap w:val="0"/>
            <w:vAlign w:val="center"/>
          </w:tcPr>
          <w:p w14:paraId="585ACC8B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《长江经济带货运码头低压岸电设施改造升级技术指南》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（长江航务管理局，2023年7月）</w:t>
            </w:r>
          </w:p>
        </w:tc>
        <w:tc>
          <w:tcPr>
            <w:tcW w:w="1455" w:type="dxa"/>
            <w:noWrap w:val="0"/>
            <w:vAlign w:val="center"/>
          </w:tcPr>
          <w:p w14:paraId="22EDFC90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技术指南</w:t>
            </w:r>
          </w:p>
        </w:tc>
      </w:tr>
      <w:tr w14:paraId="30B0E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4B1AD574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6660" w:type="dxa"/>
            <w:noWrap w:val="0"/>
            <w:vAlign w:val="center"/>
          </w:tcPr>
          <w:p w14:paraId="455E349F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《长江海事局关于印发船舶靠港使用岸电监管工作指南（试行）的通知》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长海危防〔2021〕340号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0738AE0C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技术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指南</w:t>
            </w:r>
          </w:p>
        </w:tc>
      </w:tr>
      <w:tr w14:paraId="6C0FD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6801984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6660" w:type="dxa"/>
            <w:noWrap w:val="0"/>
            <w:vAlign w:val="center"/>
          </w:tcPr>
          <w:p w14:paraId="577818A2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《一种船用岸电箱控制系统及其控制方法》</w:t>
            </w:r>
          </w:p>
          <w:p w14:paraId="1805242D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（专利号：ZL202111291247.X）</w:t>
            </w:r>
          </w:p>
        </w:tc>
        <w:tc>
          <w:tcPr>
            <w:tcW w:w="1455" w:type="dxa"/>
            <w:noWrap w:val="0"/>
            <w:vAlign w:val="center"/>
          </w:tcPr>
          <w:p w14:paraId="4DA02C8F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专利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软著</w:t>
            </w:r>
          </w:p>
        </w:tc>
      </w:tr>
      <w:tr w14:paraId="026C9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391E1A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6660" w:type="dxa"/>
            <w:noWrap w:val="0"/>
            <w:vAlign w:val="center"/>
          </w:tcPr>
          <w:p w14:paraId="201268F3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一种码头岸电桩用电源箱电气系统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》</w:t>
            </w:r>
          </w:p>
          <w:p w14:paraId="0F14CED1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（专利号：ZL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202111533589.8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1E4F7183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47B3B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3E9010C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/>
                <w:spacing w:val="9"/>
                <w:sz w:val="28"/>
                <w:szCs w:val="53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6660" w:type="dxa"/>
            <w:noWrap w:val="0"/>
            <w:vAlign w:val="center"/>
          </w:tcPr>
          <w:p w14:paraId="056767AA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《一种码头用一机双插岸电桩》</w:t>
            </w:r>
          </w:p>
          <w:p w14:paraId="1F53056F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auto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en-US" w:bidi="ar"/>
              </w:rPr>
              <w:t>（专利号：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en-US" w:bidi="ar"/>
              </w:rPr>
              <w:t>ZL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202123219899.0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en-US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5C5EE60E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4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专利软著</w:t>
            </w:r>
          </w:p>
        </w:tc>
      </w:tr>
      <w:tr w14:paraId="5835F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2FED753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6660" w:type="dxa"/>
            <w:noWrap w:val="0"/>
            <w:vAlign w:val="center"/>
          </w:tcPr>
          <w:p w14:paraId="5161D64A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《一种岸电系统冲击负荷柔性治理方法和装备》</w:t>
            </w:r>
          </w:p>
          <w:p w14:paraId="7E529282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auto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（专利号：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ZL202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 w:bidi="ar"/>
              </w:rPr>
              <w:t>210927327.8）</w:t>
            </w:r>
          </w:p>
        </w:tc>
        <w:tc>
          <w:tcPr>
            <w:tcW w:w="1455" w:type="dxa"/>
            <w:noWrap w:val="0"/>
            <w:vAlign w:val="center"/>
          </w:tcPr>
          <w:p w14:paraId="63CCEED2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096BE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832" w:type="dxa"/>
            <w:noWrap w:val="0"/>
            <w:vAlign w:val="center"/>
          </w:tcPr>
          <w:p w14:paraId="2C6507D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/>
                <w:sz w:val="28"/>
                <w:szCs w:val="53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6660" w:type="dxa"/>
            <w:noWrap w:val="0"/>
            <w:vAlign w:val="center"/>
          </w:tcPr>
          <w:p w14:paraId="724E9731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《一种船用岸电插接装置》</w:t>
            </w:r>
          </w:p>
          <w:p w14:paraId="3939AFC8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（专利号：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ZL202322824920.2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3AE76577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70355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832" w:type="dxa"/>
            <w:noWrap w:val="0"/>
            <w:vAlign w:val="center"/>
          </w:tcPr>
          <w:p w14:paraId="6776CB4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6660" w:type="dxa"/>
            <w:noWrap w:val="0"/>
            <w:vAlign w:val="center"/>
          </w:tcPr>
          <w:p w14:paraId="56A37977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《直立式岸电接电箱与受电船舶位置实时匹配系统》（专利号：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ZL202411110128.3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1C076B4D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11160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0C555E6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/>
                <w:sz w:val="28"/>
                <w:szCs w:val="53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6660" w:type="dxa"/>
            <w:noWrap w:val="0"/>
            <w:vAlign w:val="center"/>
          </w:tcPr>
          <w:p w14:paraId="03CB3D1C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《一种具备多功能的低压岸电转换装置》</w:t>
            </w:r>
          </w:p>
          <w:p w14:paraId="15561DA5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（专利号：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ZL202420083453.4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5E9C05CC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6AC5B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19FB41D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6660" w:type="dxa"/>
            <w:noWrap w:val="0"/>
            <w:vAlign w:val="center"/>
          </w:tcPr>
          <w:p w14:paraId="24BDA586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《一种岸电系统负荷预测方法及系统》</w:t>
            </w:r>
          </w:p>
          <w:p w14:paraId="4446661C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FF0000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（专利号：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ZL202411648305.3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0C7A9BCC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color w:val="0000FF"/>
                <w:spacing w:val="10"/>
                <w:kern w:val="2"/>
                <w:sz w:val="28"/>
                <w:szCs w:val="24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专利软著</w:t>
            </w:r>
          </w:p>
        </w:tc>
      </w:tr>
      <w:tr w14:paraId="56254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187EC94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6660" w:type="dxa"/>
            <w:noWrap w:val="0"/>
            <w:vAlign w:val="center"/>
          </w:tcPr>
          <w:p w14:paraId="6A413DB7">
            <w:pPr>
              <w:widowControl/>
              <w:spacing w:line="420" w:lineRule="exact"/>
              <w:jc w:val="left"/>
              <w:textAlignment w:val="top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《长江经济带船舶岸电改造填报系统》</w:t>
            </w:r>
          </w:p>
          <w:p w14:paraId="7B841B05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FF0000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（登记号：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202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SR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1158890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2659DE91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7CDE6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5009E8C7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6660" w:type="dxa"/>
            <w:noWrap w:val="0"/>
            <w:vAlign w:val="center"/>
          </w:tcPr>
          <w:p w14:paraId="2D1B36D9">
            <w:pPr>
              <w:widowControl/>
              <w:spacing w:line="420" w:lineRule="exact"/>
              <w:jc w:val="left"/>
              <w:textAlignment w:val="top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《长江干线港口和船舶岸电监管与服务系统》</w:t>
            </w:r>
          </w:p>
          <w:p w14:paraId="44328F09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color w:val="FF0000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（登记号：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202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SR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1158224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）</w:t>
            </w:r>
          </w:p>
        </w:tc>
        <w:tc>
          <w:tcPr>
            <w:tcW w:w="1455" w:type="dxa"/>
            <w:noWrap w:val="0"/>
            <w:vAlign w:val="center"/>
          </w:tcPr>
          <w:p w14:paraId="53DEE8BA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en-US" w:bidi="ar"/>
              </w:rPr>
              <w:t>专利软著</w:t>
            </w:r>
          </w:p>
        </w:tc>
      </w:tr>
      <w:tr w14:paraId="122C7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58813847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6660" w:type="dxa"/>
            <w:noWrap w:val="0"/>
            <w:vAlign w:val="center"/>
          </w:tcPr>
          <w:p w14:paraId="6C0D804C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仿宋_GB2312" w:hAnsi="仿宋_GB2312" w:eastAsia="仿宋_GB2312" w:cs="仿宋_GB2312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pacing w:val="11"/>
                <w:kern w:val="2"/>
                <w:sz w:val="28"/>
                <w:szCs w:val="53"/>
                <w:lang w:val="en-US" w:eastAsia="zh-CN" w:bidi="ar-SA"/>
              </w:rPr>
              <w:t>长江三峡通航综合服务区绿色智能建设关键技术研究及应用（2024年中国水运建设行业协会科学技术奖一等奖）</w:t>
            </w:r>
          </w:p>
        </w:tc>
        <w:tc>
          <w:tcPr>
            <w:tcW w:w="1455" w:type="dxa"/>
            <w:noWrap w:val="0"/>
            <w:vAlign w:val="center"/>
          </w:tcPr>
          <w:p w14:paraId="6A0D64AE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  <w:t>研究课题</w:t>
            </w:r>
          </w:p>
        </w:tc>
      </w:tr>
      <w:tr w14:paraId="3FAA6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7001A2B4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28"/>
                <w:szCs w:val="53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6660" w:type="dxa"/>
            <w:noWrap w:val="0"/>
            <w:vAlign w:val="center"/>
          </w:tcPr>
          <w:p w14:paraId="5E94F9C6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仿宋_GB2312"/>
                <w:spacing w:val="11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pacing w:val="11"/>
                <w:kern w:val="2"/>
                <w:sz w:val="28"/>
                <w:szCs w:val="53"/>
                <w:lang w:val="en-US" w:eastAsia="zh-CN" w:bidi="ar-SA"/>
              </w:rPr>
              <w:t>《大功率智能岸基供电系统关键技术及应用》</w:t>
            </w:r>
          </w:p>
          <w:p w14:paraId="1809782A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仿宋_GB2312" w:hAnsi="仿宋_GB2312" w:eastAsia="仿宋_GB2312" w:cs="仿宋_GB2312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pacing w:val="11"/>
                <w:kern w:val="2"/>
                <w:sz w:val="28"/>
                <w:szCs w:val="53"/>
                <w:lang w:val="en-US" w:eastAsia="zh-CN" w:bidi="ar-SA"/>
              </w:rPr>
              <w:t>（2023年中国电力发展促进会科学技术奖一等奖）</w:t>
            </w:r>
          </w:p>
        </w:tc>
        <w:tc>
          <w:tcPr>
            <w:tcW w:w="1455" w:type="dxa"/>
            <w:noWrap w:val="0"/>
            <w:vAlign w:val="center"/>
          </w:tcPr>
          <w:p w14:paraId="102918B4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  <w:t>研究课题</w:t>
            </w:r>
          </w:p>
        </w:tc>
      </w:tr>
      <w:tr w14:paraId="30C17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32" w:type="dxa"/>
            <w:noWrap w:val="0"/>
            <w:vAlign w:val="center"/>
          </w:tcPr>
          <w:p w14:paraId="67B25A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6660" w:type="dxa"/>
            <w:noWrap w:val="0"/>
            <w:vAlign w:val="center"/>
          </w:tcPr>
          <w:p w14:paraId="6C3BEF2C">
            <w:pPr>
              <w:widowControl w:val="0"/>
              <w:adjustRightInd w:val="0"/>
              <w:snapToGrid w:val="0"/>
              <w:spacing w:line="240" w:lineRule="atLeast"/>
              <w:jc w:val="left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  <w:t>《绿色航运岸电系统》（入选世界绿色设计组织2023年绿色设计国际奖）</w:t>
            </w:r>
          </w:p>
        </w:tc>
        <w:tc>
          <w:tcPr>
            <w:tcW w:w="1455" w:type="dxa"/>
            <w:noWrap w:val="0"/>
            <w:vAlign w:val="center"/>
          </w:tcPr>
          <w:p w14:paraId="7919E7DA">
            <w:pPr>
              <w:widowControl w:val="0"/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en-US" w:bidi="ar-SA"/>
              </w:rPr>
            </w:pPr>
            <w:r>
              <w:rPr>
                <w:rFonts w:ascii="Times New Roman" w:hAnsi="Times New Roman" w:eastAsia="仿宋_GB2312" w:cs="Times New Roman"/>
                <w:spacing w:val="9"/>
                <w:kern w:val="2"/>
                <w:sz w:val="28"/>
                <w:szCs w:val="53"/>
                <w:lang w:val="en-US" w:eastAsia="zh-CN" w:bidi="ar-SA"/>
              </w:rPr>
              <w:t>典型案例</w:t>
            </w:r>
          </w:p>
        </w:tc>
      </w:tr>
    </w:tbl>
    <w:p w14:paraId="7E1CA8FB">
      <w:pPr>
        <w:ind w:left="1891" w:leftChars="682" w:hanging="459" w:hangingChars="153"/>
        <w:jc w:val="right"/>
        <w:rPr>
          <w:rFonts w:ascii="仿宋_GB2312" w:hAnsi="仿宋_GB2312" w:eastAsia="仿宋_GB2312" w:cs="仿宋_GB2312"/>
          <w:sz w:val="30"/>
          <w:szCs w:val="30"/>
        </w:rPr>
      </w:pPr>
    </w:p>
    <w:p w14:paraId="7A545E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</w:pPr>
    </w:p>
    <w:p w14:paraId="0E176296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304E588-7916-41A5-8223-9CDD9C4FF40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98117D6E-4CE6-4E56-BB17-641518FEB1E2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2599C2B9-57EC-41A2-B2EF-80AEF22C622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A99CE885-FCA1-40FB-BB01-4D7969E74563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7580F23C-B804-491A-BFCD-E520693B0D4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6D2AD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EAD614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EAD614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107060"/>
    <w:rsid w:val="49107060"/>
    <w:rsid w:val="4CD928A1"/>
    <w:rsid w:val="7188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2026-01-05T01:57:00Z</dcterms:created>
  <dc:creator> </dc:creator>
  <cp:lastModifiedBy> </cp:lastModifiedBy>
  <dcterms:modified xsi:type="dcterms:W3CDTF">2026-01-05T01:59:17Z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10CDED86679049CFBB09BC4349AB1FB4_13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